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10" w:left="-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20.01.2020</w:t>
      </w:r>
    </w:p>
    <w:p>
      <w:pPr>
        <w:spacing w:before="0" w:after="0" w:line="240"/>
        <w:ind w:right="10" w:left="-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10" w:left="-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ПРОКУРАТУРА ИНФОРМИРУЕТ</w:t>
      </w:r>
    </w:p>
    <w:p>
      <w:pPr>
        <w:spacing w:before="0" w:after="0" w:line="240"/>
        <w:ind w:right="10" w:left="-426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10" w:left="-426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 2019 год прокуратурой района выявлено 15 нарушений требований законодательства о противодействии коррупции, на выявленные нарушения внесено 5 представлений, которые рассмотрены и удовлетворены, 5 должностных лиц привлечены к дисциплинарной ответственности, принесено 6 протестов, которые рассмотрены и удовлетворены, нарушения устранены.</w:t>
      </w:r>
    </w:p>
    <w:p>
      <w:pPr>
        <w:tabs>
          <w:tab w:val="left" w:pos="6030" w:leader="none"/>
        </w:tabs>
        <w:spacing w:before="0" w:after="0" w:line="240"/>
        <w:ind w:right="21" w:left="-426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прокуратурой района проведена проверка исполнения законодательства о муниципальной службе и противодействии коррупции в администрациях Доброминского, Болтутинского, Белохолмского, Бердниковского и Ромодановского сельских поселениях, в ходе которой установлено, что в нарушение требований законодательства органом местного самоуправления муниципальных образований лицо, ответственное за направление сведений в уполномоченный орган (уполномоченную организацию) в соответствии с Положением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реестре лиц, уволенных в связи с утратой доверия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утвержденным постановлением Правительства РФ от 05.03.2018 №228, для их включения в реестр, а также для исключения из реестра сведений по основаниям, предусмотренным пунктом 15 Положения, не определено. 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выявленные нарушения прокуратурой района в адрес руководителей вышеуказанных организаций внесено 5 представлений, которые рассмотрены и удовлетворены, 5 должностных лиц привлечены к дисциплинарной ответственности.</w:t>
      </w:r>
    </w:p>
    <w:p>
      <w:pPr>
        <w:tabs>
          <w:tab w:val="left" w:pos="6030" w:leader="none"/>
        </w:tabs>
        <w:spacing w:before="0" w:after="0" w:line="240"/>
        <w:ind w:right="21" w:left="-426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Кроме того, в ходе мониторинга изменений федерального законодательства проведен правовой анализ постановлений администраций Бердниковского, Ромодановского, Доброминского и Болтутинского сельских поселений, утвердивших Кодекс чести муниципального служащего, в ходе которого установлено, что Кодекс не содержит норм о предоставлении муниципальными служащими, замещающими должности муниципальной службы, включенные в соответствующий перечень, сведений о своих расходах, о расходах своих супруги (супруга) и несовершеннолетних детей, и что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образования,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</w:p>
    <w:p>
      <w:pPr>
        <w:tabs>
          <w:tab w:val="left" w:pos="6030" w:leader="none"/>
        </w:tabs>
        <w:spacing w:before="0" w:after="0" w:line="240"/>
        <w:ind w:right="21" w:left="-426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несоответствующие законодательству постановления прокуратурой района принесено 4 протеста, которые рассмотрены и удовлетворены, нарушения устранены.</w:t>
      </w:r>
    </w:p>
    <w:p>
      <w:pPr>
        <w:spacing w:before="0" w:after="0" w:line="240"/>
        <w:ind w:right="0" w:left="-426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Прокуратурой района в ходе мониторинга нормативных правовых актов органов местного самоуправления установлено, что Положение о сообщении лицом, замещающим муниципальную должность муниципального образования Доброминского и Ромодановского сельских поселений о получении подарка в связи с его должностным положением или исполнением им служебных (должностных) обязанностей, сдаче и оценке подарка, реализации (выкупе) и зачислении средств, вырученных от его реализации, противоречит требованиям действующего законодательства.</w:t>
      </w:r>
    </w:p>
    <w:p>
      <w:pPr>
        <w:spacing w:before="0" w:after="0" w:line="240"/>
        <w:ind w:right="10" w:left="-426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противоречащие нормативные правовые акты принесено 2 протеста, которые рассмотрены и удовлетворены, нарушения устранены.</w:t>
      </w:r>
    </w:p>
    <w:p>
      <w:pPr>
        <w:tabs>
          <w:tab w:val="left" w:pos="3822" w:leader="none"/>
        </w:tabs>
        <w:spacing w:before="0" w:after="0" w:line="240"/>
        <w:ind w:right="0" w:left="-426" w:firstLine="709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2019 год прокуратурой района изучено 152 нормативных правовых акта на наличие коррупциогенных факторов,  в результате изучения выявлено 33 нормативных правовых акта, содержащих коррупциогенные факторы, из них: 16 о правах и свободах человека и гражданина, 2 – о муниципальной собственности, приняты меры прокурорского реагирования в виде 33 протестов, которые рассмотрены и удовлетворены, коррупциогенные факторы исключены, требования не вносились, заявления в суд не направлялись, при проведении антикоррупционной экспертизы проектов нормативных правовых актов коррупциогенных факторов не выявлено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-426" w:firstLine="709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При проведении антикоррупционной экспертизы нормативных правовых актов выявлены следующие коррупциогенные факторы:</w:t>
      </w:r>
    </w:p>
    <w:p>
      <w:pPr>
        <w:spacing w:before="0" w:after="0" w:line="240"/>
        <w:ind w:right="0" w:left="-426" w:firstLine="709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- 1 –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выборочное изменение объема прав;</w:t>
      </w:r>
    </w:p>
    <w:p>
      <w:pPr>
        <w:spacing w:before="0" w:after="0" w:line="240"/>
        <w:ind w:right="0" w:left="-426" w:firstLine="709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- 2 -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отсутствие или неполнота административных процедур;</w:t>
      </w:r>
    </w:p>
    <w:p>
      <w:pPr>
        <w:spacing w:before="0" w:after="0" w:line="240"/>
        <w:ind w:right="0" w:left="-426" w:firstLine="709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- 30 –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нормативные коллизии.</w:t>
      </w:r>
    </w:p>
    <w:p>
      <w:pPr>
        <w:spacing w:before="0" w:after="0" w:line="240"/>
        <w:ind w:right="0" w:left="-426" w:firstLine="709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Негативные последствия от действия коррупциогенных факторов на практике не наступили.</w:t>
      </w:r>
    </w:p>
    <w:p>
      <w:pPr>
        <w:keepNext w:val="true"/>
        <w:spacing w:before="45" w:after="225" w:line="240"/>
        <w:ind w:right="0" w:left="-426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-42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20.01.2020</w:t>
      </w:r>
    </w:p>
    <w:p>
      <w:pPr>
        <w:spacing w:before="0" w:after="0" w:line="240"/>
        <w:ind w:right="0" w:left="-426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Прокуратура Глинковского района информирует</w:t>
      </w:r>
    </w:p>
    <w:p>
      <w:pPr>
        <w:spacing w:before="0" w:after="0" w:line="240"/>
        <w:ind w:right="0" w:left="-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426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  <w:t xml:space="preserve">т. 22 Федерального закона 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  <w:t xml:space="preserve">О прокуратуре Российской Федерации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прокурор или его заместитель по основаниям, установленным законом, возбуждает производство об административном правонарушении.</w:t>
      </w:r>
    </w:p>
    <w:p>
      <w:pPr>
        <w:spacing w:before="0" w:after="0" w:line="240"/>
        <w:ind w:right="0" w:left="-426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2019 г. прокуратурой Глинковского района возбуждено 44 производства об административных правонарушениях, из них: 43 рассмотрены и удовлетворены, 43 должностным лицам назначены, предусмотренные административным законодательством, виды административных наказаний.</w:t>
      </w:r>
    </w:p>
    <w:p>
      <w:pPr>
        <w:spacing w:before="0" w:after="0" w:line="240"/>
        <w:ind w:right="0" w:left="-426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Так, в сфере соблюдения прав и свобод человека и гражданина возбуждено 39 административных производства, из них, 24 административных производства о трудовых правах граждан, которые рассмотрены и удовлетворены, 24 должностным лицам назначены, предусмотренные административным законодательством, виды административных наказаний.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Прокуратурой района возбуждено 7 административных производств по ст.5.61 КоАП РФ – оскорбление, то есть унижение чести и достоинства другого лица, выраженное в неприличной форме, которые рассмотрены и удовлетворены, 7 лицам назначены, предусмотренные административным законодательством, виды административных наказаний.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Оскорбление представляет собой разновидность психического насилия, которая выражается в отрицательной оценке виновным личности гражданина, подрывает репутацию последнего в глазах окружающих и наносит ущерб его самоуважению.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Оскорбление может быть выражено устно, например, в виде ругательств, или же письменно в виде адресованных гражданину записок или писем неприличного содержания. Также оскорбление может выражаться и в физических действиях (например, плевок, пощечина). Такие действия унижают честь и достоинство человека, которые, соответственно, выступают объектом данного правонарушения.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Статья 17 Международного пакта о гражданских и политических правах и ст.10 Европейской Конвенции о защите прав человека и основных свобод содержат положения о защите от незаконных посягательств на честь и достоинство личности. Требованиям указанных международно-правовых актов соответствует ст.21 Конституции РФ, согласно которой достоинство личности охраняется государством. Никто не должен подвергаться жестокому или унижающему человеческое достоинство обращению. Как указывается в постановлении Конституционного Суда РФ от 28.06.2007 №8-П, достоинство личности подлежит защите в качестве общего условия осуществления всех иных прав и свобод, независимо от фактического социального положения человека, и предопределяет недопустимость произвольного вмешательства в сферу автономии личности.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